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A5DCE" w14:textId="4279A9A2" w:rsidR="007257B9" w:rsidRPr="006B5342" w:rsidRDefault="007257B9" w:rsidP="007257B9">
      <w:pPr>
        <w:rPr>
          <w:i/>
          <w:sz w:val="18"/>
          <w:szCs w:val="18"/>
        </w:rPr>
      </w:pPr>
      <w:bookmarkStart w:id="0" w:name="_GoBack"/>
      <w:bookmarkEnd w:id="0"/>
      <w:r w:rsidRPr="006B5342">
        <w:rPr>
          <w:rFonts w:ascii="Arial" w:hAnsi="Arial" w:cs="Tahoma"/>
        </w:rPr>
        <w:t>Table 2 is a reflection of the current labor market in the local regional area commonly employing students from Moorpark College. The location of Moorpark College is between two counties (Ventura and Los Angeles) and allows for a greater regional area for prospective employment beyond the city of Moorpark. Currently, the overall labor market for these selected job titles is at a rate of 8.5% with 164,180 annual job openings in the designated regional area.</w:t>
      </w:r>
    </w:p>
    <w:p w14:paraId="70BD99F3" w14:textId="77777777" w:rsidR="007257B9" w:rsidRPr="006B5342" w:rsidRDefault="007257B9" w:rsidP="007257B9">
      <w:pPr>
        <w:widowControl w:val="0"/>
        <w:autoSpaceDE w:val="0"/>
        <w:autoSpaceDN w:val="0"/>
        <w:adjustRightInd w:val="0"/>
        <w:rPr>
          <w:rFonts w:ascii="Arial" w:hAnsi="Arial" w:cs="Tahoma"/>
        </w:rPr>
      </w:pPr>
    </w:p>
    <w:p w14:paraId="34C7F19E" w14:textId="77777777" w:rsidR="007257B9" w:rsidRPr="00417468" w:rsidRDefault="007257B9" w:rsidP="007257B9">
      <w:pPr>
        <w:widowControl w:val="0"/>
        <w:autoSpaceDE w:val="0"/>
        <w:autoSpaceDN w:val="0"/>
        <w:adjustRightInd w:val="0"/>
        <w:spacing w:after="240"/>
        <w:contextualSpacing/>
        <w:rPr>
          <w:rFonts w:ascii="Times New Roman" w:hAnsi="Times New Roman"/>
          <w:i/>
          <w:color w:val="000000"/>
        </w:rPr>
      </w:pPr>
    </w:p>
    <w:p w14:paraId="758D1B6D" w14:textId="0CF98EEE" w:rsidR="007257B9" w:rsidRPr="00417468" w:rsidRDefault="007257B9" w:rsidP="007257B9">
      <w:pPr>
        <w:widowControl w:val="0"/>
        <w:autoSpaceDE w:val="0"/>
        <w:autoSpaceDN w:val="0"/>
        <w:adjustRightInd w:val="0"/>
        <w:spacing w:after="240"/>
        <w:contextualSpacing/>
        <w:rPr>
          <w:i/>
        </w:rPr>
      </w:pPr>
      <w:r w:rsidRPr="00417468">
        <w:rPr>
          <w:rFonts w:ascii="Times New Roman" w:hAnsi="Times New Roman"/>
          <w:i/>
          <w:color w:val="000000"/>
        </w:rPr>
        <w:t xml:space="preserve">Selected Accounting Related </w:t>
      </w:r>
      <w:r>
        <w:rPr>
          <w:rFonts w:ascii="Times New Roman" w:hAnsi="Times New Roman"/>
          <w:i/>
          <w:color w:val="000000"/>
        </w:rPr>
        <w:t>Occupational</w:t>
      </w:r>
      <w:r w:rsidRPr="00417468">
        <w:rPr>
          <w:rFonts w:ascii="Times New Roman" w:hAnsi="Times New Roman"/>
          <w:i/>
          <w:color w:val="000000"/>
        </w:rPr>
        <w:t xml:space="preserve"> Titles Showing Rate </w:t>
      </w:r>
      <w:r w:rsidR="0013076B" w:rsidRPr="00417468">
        <w:rPr>
          <w:rFonts w:ascii="Times New Roman" w:hAnsi="Times New Roman"/>
          <w:i/>
          <w:color w:val="000000"/>
        </w:rPr>
        <w:t>of</w:t>
      </w:r>
      <w:r w:rsidRPr="00417468">
        <w:rPr>
          <w:rFonts w:ascii="Times New Roman" w:hAnsi="Times New Roman"/>
          <w:i/>
          <w:color w:val="000000"/>
        </w:rPr>
        <w:t xml:space="preserve"> Growth for </w:t>
      </w:r>
      <w:r w:rsidRPr="00417468">
        <w:rPr>
          <w:i/>
        </w:rPr>
        <w:t>Regional areas including Ventura County, Santa Barbara County and Los Angeles County</w:t>
      </w:r>
    </w:p>
    <w:p w14:paraId="41622D6B" w14:textId="77777777" w:rsidR="007257B9" w:rsidRPr="00417468" w:rsidRDefault="007257B9" w:rsidP="007257B9">
      <w:pPr>
        <w:widowControl w:val="0"/>
        <w:autoSpaceDE w:val="0"/>
        <w:autoSpaceDN w:val="0"/>
        <w:adjustRightInd w:val="0"/>
        <w:spacing w:after="240"/>
        <w:contextualSpacing/>
        <w:rPr>
          <w:rFonts w:ascii="Times New Roman" w:hAnsi="Times New Roman"/>
          <w:b/>
          <w:color w:val="000000"/>
        </w:rPr>
      </w:pPr>
      <w:r w:rsidRPr="00417468">
        <w:rPr>
          <w:rFonts w:ascii="Times New Roman" w:hAnsi="Times New Roman"/>
          <w:b/>
          <w:color w:val="000000"/>
        </w:rPr>
        <w:t>Table 2</w:t>
      </w:r>
    </w:p>
    <w:p w14:paraId="6E752F6B" w14:textId="77777777" w:rsidR="007257B9" w:rsidRPr="00417468" w:rsidRDefault="007257B9" w:rsidP="007257B9">
      <w:pPr>
        <w:widowControl w:val="0"/>
        <w:autoSpaceDE w:val="0"/>
        <w:autoSpaceDN w:val="0"/>
        <w:adjustRightInd w:val="0"/>
        <w:spacing w:after="240"/>
        <w:contextualSpacing/>
        <w:rPr>
          <w:rFonts w:ascii="Times New Roman" w:hAnsi="Times New Roman"/>
          <w:color w:val="000000"/>
        </w:rPr>
      </w:pPr>
    </w:p>
    <w:tbl>
      <w:tblPr>
        <w:tblStyle w:val="LightShading-Accent1"/>
        <w:tblW w:w="11313" w:type="dxa"/>
        <w:tblLook w:val="04A0" w:firstRow="1" w:lastRow="0" w:firstColumn="1" w:lastColumn="0" w:noHBand="0" w:noVBand="1"/>
      </w:tblPr>
      <w:tblGrid>
        <w:gridCol w:w="1833"/>
        <w:gridCol w:w="1595"/>
        <w:gridCol w:w="1715"/>
        <w:gridCol w:w="1265"/>
        <w:gridCol w:w="1408"/>
        <w:gridCol w:w="1207"/>
        <w:gridCol w:w="2290"/>
      </w:tblGrid>
      <w:tr w:rsidR="007257B9" w:rsidRPr="00417468" w14:paraId="77132B7F" w14:textId="77777777" w:rsidTr="009344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20A91C00" w14:textId="77777777" w:rsidR="007257B9" w:rsidRPr="006B5342" w:rsidRDefault="007257B9" w:rsidP="009344E5">
            <w:pPr>
              <w:jc w:val="center"/>
            </w:pPr>
            <w:r w:rsidRPr="006B5342">
              <w:rPr>
                <w:rFonts w:ascii="Helvetica" w:hAnsi="Helvetica" w:cs="Helvetica"/>
                <w:color w:val="313131"/>
                <w:sz w:val="20"/>
                <w:szCs w:val="20"/>
              </w:rPr>
              <w:t>Occupational Titles</w:t>
            </w:r>
          </w:p>
        </w:tc>
        <w:tc>
          <w:tcPr>
            <w:tcW w:w="1595" w:type="dxa"/>
          </w:tcPr>
          <w:p w14:paraId="12A3F6DB" w14:textId="77777777" w:rsidR="007257B9" w:rsidRPr="00417468" w:rsidRDefault="007257B9" w:rsidP="009344E5">
            <w:pPr>
              <w:jc w:val="center"/>
              <w:cnfStyle w:val="100000000000" w:firstRow="1" w:lastRow="0" w:firstColumn="0" w:lastColumn="0" w:oddVBand="0" w:evenVBand="0" w:oddHBand="0" w:evenHBand="0" w:firstRowFirstColumn="0" w:firstRowLastColumn="0" w:lastRowFirstColumn="0" w:lastRowLastColumn="0"/>
              <w:rPr>
                <w:b w:val="0"/>
              </w:rPr>
            </w:pPr>
            <w:r w:rsidRPr="00417468">
              <w:rPr>
                <w:b w:val="0"/>
              </w:rPr>
              <w:t>Year Projected</w:t>
            </w:r>
          </w:p>
        </w:tc>
        <w:tc>
          <w:tcPr>
            <w:tcW w:w="1715" w:type="dxa"/>
          </w:tcPr>
          <w:p w14:paraId="3741F4A5" w14:textId="77777777" w:rsidR="007257B9" w:rsidRPr="00417468" w:rsidRDefault="007257B9" w:rsidP="009344E5">
            <w:pPr>
              <w:jc w:val="center"/>
              <w:cnfStyle w:val="100000000000" w:firstRow="1" w:lastRow="0" w:firstColumn="0" w:lastColumn="0" w:oddVBand="0" w:evenVBand="0" w:oddHBand="0" w:evenHBand="0" w:firstRowFirstColumn="0" w:firstRowLastColumn="0" w:lastRowFirstColumn="0" w:lastRowLastColumn="0"/>
              <w:rPr>
                <w:b w:val="0"/>
              </w:rPr>
            </w:pPr>
            <w:r w:rsidRPr="00417468">
              <w:rPr>
                <w:b w:val="0"/>
              </w:rPr>
              <w:t>2013</w:t>
            </w:r>
          </w:p>
        </w:tc>
        <w:tc>
          <w:tcPr>
            <w:tcW w:w="1265" w:type="dxa"/>
          </w:tcPr>
          <w:p w14:paraId="7853238C" w14:textId="77777777" w:rsidR="007257B9" w:rsidRPr="00417468" w:rsidRDefault="007257B9" w:rsidP="009344E5">
            <w:pPr>
              <w:jc w:val="center"/>
              <w:cnfStyle w:val="100000000000" w:firstRow="1" w:lastRow="0" w:firstColumn="0" w:lastColumn="0" w:oddVBand="0" w:evenVBand="0" w:oddHBand="0" w:evenHBand="0" w:firstRowFirstColumn="0" w:firstRowLastColumn="0" w:lastRowFirstColumn="0" w:lastRowLastColumn="0"/>
              <w:rPr>
                <w:b w:val="0"/>
              </w:rPr>
            </w:pPr>
            <w:r w:rsidRPr="00417468">
              <w:rPr>
                <w:b w:val="0"/>
              </w:rPr>
              <w:t>2020</w:t>
            </w:r>
          </w:p>
        </w:tc>
        <w:tc>
          <w:tcPr>
            <w:tcW w:w="1408" w:type="dxa"/>
          </w:tcPr>
          <w:p w14:paraId="2887A83F" w14:textId="77777777" w:rsidR="007257B9" w:rsidRPr="00417468" w:rsidRDefault="007257B9" w:rsidP="009344E5">
            <w:pPr>
              <w:jc w:val="center"/>
              <w:cnfStyle w:val="100000000000" w:firstRow="1" w:lastRow="0" w:firstColumn="0" w:lastColumn="0" w:oddVBand="0" w:evenVBand="0" w:oddHBand="0" w:evenHBand="0" w:firstRowFirstColumn="0" w:firstRowLastColumn="0" w:lastRowFirstColumn="0" w:lastRowLastColumn="0"/>
              <w:rPr>
                <w:b w:val="0"/>
              </w:rPr>
            </w:pPr>
            <w:r w:rsidRPr="00417468">
              <w:rPr>
                <w:b w:val="0"/>
              </w:rPr>
              <w:t>Change</w:t>
            </w:r>
          </w:p>
        </w:tc>
        <w:tc>
          <w:tcPr>
            <w:tcW w:w="1207" w:type="dxa"/>
          </w:tcPr>
          <w:p w14:paraId="774E526C" w14:textId="77777777" w:rsidR="007257B9" w:rsidRPr="00417468" w:rsidRDefault="007257B9" w:rsidP="009344E5">
            <w:pPr>
              <w:jc w:val="center"/>
              <w:cnfStyle w:val="100000000000" w:firstRow="1" w:lastRow="0" w:firstColumn="0" w:lastColumn="0" w:oddVBand="0" w:evenVBand="0" w:oddHBand="0" w:evenHBand="0" w:firstRowFirstColumn="0" w:firstRowLastColumn="0" w:lastRowFirstColumn="0" w:lastRowLastColumn="0"/>
              <w:rPr>
                <w:b w:val="0"/>
              </w:rPr>
            </w:pPr>
            <w:r w:rsidRPr="00417468">
              <w:rPr>
                <w:b w:val="0"/>
              </w:rPr>
              <w:t>% Of Change (growth)</w:t>
            </w:r>
          </w:p>
        </w:tc>
        <w:tc>
          <w:tcPr>
            <w:tcW w:w="2290" w:type="dxa"/>
          </w:tcPr>
          <w:p w14:paraId="12BCFBC3" w14:textId="77777777" w:rsidR="007257B9" w:rsidRPr="00417468" w:rsidRDefault="007257B9" w:rsidP="009344E5">
            <w:pPr>
              <w:jc w:val="center"/>
              <w:cnfStyle w:val="100000000000" w:firstRow="1" w:lastRow="0" w:firstColumn="0" w:lastColumn="0" w:oddVBand="0" w:evenVBand="0" w:oddHBand="0" w:evenHBand="0" w:firstRowFirstColumn="0" w:firstRowLastColumn="0" w:lastRowFirstColumn="0" w:lastRowLastColumn="0"/>
              <w:rPr>
                <w:b w:val="0"/>
              </w:rPr>
            </w:pPr>
            <w:r w:rsidRPr="00417468">
              <w:rPr>
                <w:b w:val="0"/>
              </w:rPr>
              <w:t>Median Earning</w:t>
            </w:r>
          </w:p>
        </w:tc>
      </w:tr>
      <w:tr w:rsidR="007257B9" w:rsidRPr="00417468" w14:paraId="50115DBE" w14:textId="77777777" w:rsidTr="009344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3578A82A" w14:textId="77777777" w:rsidR="007257B9" w:rsidRPr="006B5342" w:rsidRDefault="007257B9" w:rsidP="009344E5">
            <w:pPr>
              <w:jc w:val="center"/>
              <w:rPr>
                <w:rFonts w:ascii="Helvetica" w:hAnsi="Helvetica" w:cs="Helvetica"/>
                <w:color w:val="313131"/>
                <w:sz w:val="20"/>
                <w:szCs w:val="20"/>
              </w:rPr>
            </w:pPr>
            <w:r w:rsidRPr="006B5342">
              <w:rPr>
                <w:rFonts w:ascii="Helvetica" w:hAnsi="Helvetica" w:cs="Helvetica"/>
                <w:color w:val="313131"/>
                <w:sz w:val="20"/>
                <w:szCs w:val="20"/>
              </w:rPr>
              <w:t>Accountant and Auditors</w:t>
            </w:r>
          </w:p>
        </w:tc>
        <w:tc>
          <w:tcPr>
            <w:tcW w:w="1595" w:type="dxa"/>
          </w:tcPr>
          <w:p w14:paraId="70D82500" w14:textId="77777777" w:rsidR="007257B9" w:rsidRPr="00417468" w:rsidRDefault="007257B9" w:rsidP="009344E5">
            <w:pPr>
              <w:jc w:val="center"/>
              <w:cnfStyle w:val="000000100000" w:firstRow="0" w:lastRow="0" w:firstColumn="0" w:lastColumn="0" w:oddVBand="0" w:evenVBand="0" w:oddHBand="1" w:evenHBand="0" w:firstRowFirstColumn="0" w:firstRowLastColumn="0" w:lastRowFirstColumn="0" w:lastRowLastColumn="0"/>
            </w:pPr>
            <w:r w:rsidRPr="00417468">
              <w:t>2013-2020</w:t>
            </w:r>
          </w:p>
        </w:tc>
        <w:tc>
          <w:tcPr>
            <w:tcW w:w="1715" w:type="dxa"/>
          </w:tcPr>
          <w:p w14:paraId="2F1077B9" w14:textId="77777777" w:rsidR="007257B9" w:rsidRPr="00417468" w:rsidRDefault="007257B9" w:rsidP="009344E5">
            <w:pPr>
              <w:jc w:val="center"/>
              <w:cnfStyle w:val="000000100000" w:firstRow="0" w:lastRow="0" w:firstColumn="0" w:lastColumn="0" w:oddVBand="0" w:evenVBand="0" w:oddHBand="1" w:evenHBand="0" w:firstRowFirstColumn="0" w:firstRowLastColumn="0" w:lastRowFirstColumn="0" w:lastRowLastColumn="0"/>
            </w:pPr>
            <w:r w:rsidRPr="00417468">
              <w:t>63,620</w:t>
            </w:r>
          </w:p>
        </w:tc>
        <w:tc>
          <w:tcPr>
            <w:tcW w:w="1265" w:type="dxa"/>
          </w:tcPr>
          <w:p w14:paraId="25CDBE77" w14:textId="77777777" w:rsidR="007257B9" w:rsidRPr="00417468" w:rsidRDefault="007257B9" w:rsidP="009344E5">
            <w:pPr>
              <w:jc w:val="center"/>
              <w:cnfStyle w:val="000000100000" w:firstRow="0" w:lastRow="0" w:firstColumn="0" w:lastColumn="0" w:oddVBand="0" w:evenVBand="0" w:oddHBand="1" w:evenHBand="0" w:firstRowFirstColumn="0" w:firstRowLastColumn="0" w:lastRowFirstColumn="0" w:lastRowLastColumn="0"/>
            </w:pPr>
            <w:r w:rsidRPr="00417468">
              <w:t>68,613</w:t>
            </w:r>
          </w:p>
        </w:tc>
        <w:tc>
          <w:tcPr>
            <w:tcW w:w="1408" w:type="dxa"/>
          </w:tcPr>
          <w:p w14:paraId="61108EEE" w14:textId="77777777" w:rsidR="007257B9" w:rsidRPr="00417468" w:rsidRDefault="007257B9" w:rsidP="009344E5">
            <w:pPr>
              <w:jc w:val="center"/>
              <w:cnfStyle w:val="000000100000" w:firstRow="0" w:lastRow="0" w:firstColumn="0" w:lastColumn="0" w:oddVBand="0" w:evenVBand="0" w:oddHBand="1" w:evenHBand="0" w:firstRowFirstColumn="0" w:firstRowLastColumn="0" w:lastRowFirstColumn="0" w:lastRowLastColumn="0"/>
            </w:pPr>
            <w:r w:rsidRPr="00417468">
              <w:t>4,993</w:t>
            </w:r>
          </w:p>
        </w:tc>
        <w:tc>
          <w:tcPr>
            <w:tcW w:w="1207" w:type="dxa"/>
          </w:tcPr>
          <w:p w14:paraId="53482709" w14:textId="77777777" w:rsidR="007257B9" w:rsidRPr="00417468" w:rsidRDefault="007257B9" w:rsidP="009344E5">
            <w:pPr>
              <w:jc w:val="center"/>
              <w:cnfStyle w:val="000000100000" w:firstRow="0" w:lastRow="0" w:firstColumn="0" w:lastColumn="0" w:oddVBand="0" w:evenVBand="0" w:oddHBand="1" w:evenHBand="0" w:firstRowFirstColumn="0" w:firstRowLastColumn="0" w:lastRowFirstColumn="0" w:lastRowLastColumn="0"/>
            </w:pPr>
            <w:r w:rsidRPr="00417468">
              <w:t>8%</w:t>
            </w:r>
          </w:p>
        </w:tc>
        <w:tc>
          <w:tcPr>
            <w:tcW w:w="2290" w:type="dxa"/>
          </w:tcPr>
          <w:p w14:paraId="120E77AA" w14:textId="77777777" w:rsidR="007257B9" w:rsidRPr="00417468" w:rsidRDefault="007257B9" w:rsidP="009344E5">
            <w:pPr>
              <w:jc w:val="center"/>
              <w:cnfStyle w:val="000000100000" w:firstRow="0" w:lastRow="0" w:firstColumn="0" w:lastColumn="0" w:oddVBand="0" w:evenVBand="0" w:oddHBand="1" w:evenHBand="0" w:firstRowFirstColumn="0" w:firstRowLastColumn="0" w:lastRowFirstColumn="0" w:lastRowLastColumn="0"/>
            </w:pPr>
            <w:r w:rsidRPr="00417468">
              <w:t>$33.82</w:t>
            </w:r>
          </w:p>
        </w:tc>
      </w:tr>
      <w:tr w:rsidR="007257B9" w:rsidRPr="00417468" w14:paraId="2A4A96AB" w14:textId="77777777" w:rsidTr="009344E5">
        <w:tc>
          <w:tcPr>
            <w:cnfStyle w:val="001000000000" w:firstRow="0" w:lastRow="0" w:firstColumn="1" w:lastColumn="0" w:oddVBand="0" w:evenVBand="0" w:oddHBand="0" w:evenHBand="0" w:firstRowFirstColumn="0" w:firstRowLastColumn="0" w:lastRowFirstColumn="0" w:lastRowLastColumn="0"/>
            <w:tcW w:w="1833" w:type="dxa"/>
          </w:tcPr>
          <w:p w14:paraId="45462993" w14:textId="77777777" w:rsidR="007257B9" w:rsidRPr="006B5342" w:rsidRDefault="007257B9" w:rsidP="009344E5">
            <w:pPr>
              <w:jc w:val="center"/>
            </w:pPr>
            <w:r w:rsidRPr="006B5342">
              <w:rPr>
                <w:rFonts w:ascii="Helvetica" w:hAnsi="Helvetica" w:cs="Helvetica"/>
                <w:color w:val="313131"/>
                <w:sz w:val="20"/>
                <w:szCs w:val="20"/>
              </w:rPr>
              <w:t>Budget Analysts</w:t>
            </w:r>
          </w:p>
        </w:tc>
        <w:tc>
          <w:tcPr>
            <w:tcW w:w="1595" w:type="dxa"/>
          </w:tcPr>
          <w:p w14:paraId="2FB5C74B" w14:textId="77777777" w:rsidR="007257B9" w:rsidRPr="00417468" w:rsidRDefault="007257B9" w:rsidP="009344E5">
            <w:pPr>
              <w:jc w:val="center"/>
              <w:cnfStyle w:val="000000000000" w:firstRow="0" w:lastRow="0" w:firstColumn="0" w:lastColumn="0" w:oddVBand="0" w:evenVBand="0" w:oddHBand="0" w:evenHBand="0" w:firstRowFirstColumn="0" w:firstRowLastColumn="0" w:lastRowFirstColumn="0" w:lastRowLastColumn="0"/>
            </w:pPr>
            <w:r w:rsidRPr="00417468">
              <w:t>2013-2020</w:t>
            </w:r>
          </w:p>
        </w:tc>
        <w:tc>
          <w:tcPr>
            <w:tcW w:w="1715" w:type="dxa"/>
          </w:tcPr>
          <w:p w14:paraId="6BAB4862" w14:textId="77777777" w:rsidR="007257B9" w:rsidRPr="00417468" w:rsidRDefault="007257B9" w:rsidP="009344E5">
            <w:pPr>
              <w:jc w:val="center"/>
              <w:cnfStyle w:val="000000000000" w:firstRow="0" w:lastRow="0" w:firstColumn="0" w:lastColumn="0" w:oddVBand="0" w:evenVBand="0" w:oddHBand="0" w:evenHBand="0" w:firstRowFirstColumn="0" w:firstRowLastColumn="0" w:lastRowFirstColumn="0" w:lastRowLastColumn="0"/>
            </w:pPr>
            <w:r w:rsidRPr="00417468">
              <w:t>3,871</w:t>
            </w:r>
          </w:p>
        </w:tc>
        <w:tc>
          <w:tcPr>
            <w:tcW w:w="1265" w:type="dxa"/>
          </w:tcPr>
          <w:p w14:paraId="2504C406" w14:textId="77777777" w:rsidR="007257B9" w:rsidRPr="00417468" w:rsidRDefault="007257B9" w:rsidP="009344E5">
            <w:pPr>
              <w:jc w:val="center"/>
              <w:cnfStyle w:val="000000000000" w:firstRow="0" w:lastRow="0" w:firstColumn="0" w:lastColumn="0" w:oddVBand="0" w:evenVBand="0" w:oddHBand="0" w:evenHBand="0" w:firstRowFirstColumn="0" w:firstRowLastColumn="0" w:lastRowFirstColumn="0" w:lastRowLastColumn="0"/>
            </w:pPr>
            <w:r w:rsidRPr="00417468">
              <w:t>3,909</w:t>
            </w:r>
          </w:p>
        </w:tc>
        <w:tc>
          <w:tcPr>
            <w:tcW w:w="1408" w:type="dxa"/>
          </w:tcPr>
          <w:p w14:paraId="42E0EDBA" w14:textId="77777777" w:rsidR="007257B9" w:rsidRPr="00417468" w:rsidRDefault="007257B9" w:rsidP="009344E5">
            <w:pPr>
              <w:jc w:val="center"/>
              <w:cnfStyle w:val="000000000000" w:firstRow="0" w:lastRow="0" w:firstColumn="0" w:lastColumn="0" w:oddVBand="0" w:evenVBand="0" w:oddHBand="0" w:evenHBand="0" w:firstRowFirstColumn="0" w:firstRowLastColumn="0" w:lastRowFirstColumn="0" w:lastRowLastColumn="0"/>
            </w:pPr>
            <w:r w:rsidRPr="00417468">
              <w:t>38</w:t>
            </w:r>
          </w:p>
        </w:tc>
        <w:tc>
          <w:tcPr>
            <w:tcW w:w="1207" w:type="dxa"/>
          </w:tcPr>
          <w:p w14:paraId="4A0CC05A" w14:textId="77777777" w:rsidR="007257B9" w:rsidRPr="00417468" w:rsidRDefault="007257B9" w:rsidP="009344E5">
            <w:pPr>
              <w:jc w:val="center"/>
              <w:cnfStyle w:val="000000000000" w:firstRow="0" w:lastRow="0" w:firstColumn="0" w:lastColumn="0" w:oddVBand="0" w:evenVBand="0" w:oddHBand="0" w:evenHBand="0" w:firstRowFirstColumn="0" w:firstRowLastColumn="0" w:lastRowFirstColumn="0" w:lastRowLastColumn="0"/>
            </w:pPr>
            <w:r w:rsidRPr="00417468">
              <w:t>1%</w:t>
            </w:r>
          </w:p>
        </w:tc>
        <w:tc>
          <w:tcPr>
            <w:tcW w:w="2290" w:type="dxa"/>
          </w:tcPr>
          <w:p w14:paraId="663C16FB" w14:textId="77777777" w:rsidR="007257B9" w:rsidRPr="00417468" w:rsidRDefault="007257B9" w:rsidP="009344E5">
            <w:pPr>
              <w:jc w:val="center"/>
              <w:cnfStyle w:val="000000000000" w:firstRow="0" w:lastRow="0" w:firstColumn="0" w:lastColumn="0" w:oddVBand="0" w:evenVBand="0" w:oddHBand="0" w:evenHBand="0" w:firstRowFirstColumn="0" w:firstRowLastColumn="0" w:lastRowFirstColumn="0" w:lastRowLastColumn="0"/>
            </w:pPr>
            <w:r w:rsidRPr="00417468">
              <w:t>$38.33</w:t>
            </w:r>
          </w:p>
        </w:tc>
      </w:tr>
      <w:tr w:rsidR="007257B9" w:rsidRPr="00417468" w14:paraId="6BE6E250" w14:textId="77777777" w:rsidTr="009344E5">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833" w:type="dxa"/>
          </w:tcPr>
          <w:p w14:paraId="0A82DECA" w14:textId="77777777" w:rsidR="007257B9" w:rsidRPr="006B5342" w:rsidRDefault="007257B9" w:rsidP="009344E5">
            <w:pPr>
              <w:jc w:val="center"/>
            </w:pPr>
            <w:r w:rsidRPr="006B5342">
              <w:rPr>
                <w:rFonts w:ascii="Helvetica" w:hAnsi="Helvetica" w:cs="Helvetica"/>
                <w:color w:val="313131"/>
                <w:sz w:val="20"/>
                <w:szCs w:val="20"/>
              </w:rPr>
              <w:t>Bill and Account Collectors</w:t>
            </w:r>
          </w:p>
        </w:tc>
        <w:tc>
          <w:tcPr>
            <w:tcW w:w="1595" w:type="dxa"/>
          </w:tcPr>
          <w:p w14:paraId="59A9957E" w14:textId="77777777" w:rsidR="007257B9" w:rsidRPr="00417468" w:rsidRDefault="007257B9" w:rsidP="009344E5">
            <w:pPr>
              <w:jc w:val="center"/>
              <w:cnfStyle w:val="000000100000" w:firstRow="0" w:lastRow="0" w:firstColumn="0" w:lastColumn="0" w:oddVBand="0" w:evenVBand="0" w:oddHBand="1" w:evenHBand="0" w:firstRowFirstColumn="0" w:firstRowLastColumn="0" w:lastRowFirstColumn="0" w:lastRowLastColumn="0"/>
            </w:pPr>
            <w:r w:rsidRPr="00417468">
              <w:t>2013-2020</w:t>
            </w:r>
          </w:p>
        </w:tc>
        <w:tc>
          <w:tcPr>
            <w:tcW w:w="1715" w:type="dxa"/>
          </w:tcPr>
          <w:p w14:paraId="59D8DFC2" w14:textId="77777777" w:rsidR="007257B9" w:rsidRPr="00417468" w:rsidRDefault="007257B9" w:rsidP="009344E5">
            <w:pPr>
              <w:jc w:val="center"/>
              <w:cnfStyle w:val="000000100000" w:firstRow="0" w:lastRow="0" w:firstColumn="0" w:lastColumn="0" w:oddVBand="0" w:evenVBand="0" w:oddHBand="1" w:evenHBand="0" w:firstRowFirstColumn="0" w:firstRowLastColumn="0" w:lastRowFirstColumn="0" w:lastRowLastColumn="0"/>
            </w:pPr>
            <w:r w:rsidRPr="00417468">
              <w:t>20,683</w:t>
            </w:r>
          </w:p>
        </w:tc>
        <w:tc>
          <w:tcPr>
            <w:tcW w:w="1265" w:type="dxa"/>
          </w:tcPr>
          <w:p w14:paraId="700CFF46" w14:textId="77777777" w:rsidR="007257B9" w:rsidRPr="00417468" w:rsidRDefault="007257B9" w:rsidP="009344E5">
            <w:pPr>
              <w:jc w:val="center"/>
              <w:cnfStyle w:val="000000100000" w:firstRow="0" w:lastRow="0" w:firstColumn="0" w:lastColumn="0" w:oddVBand="0" w:evenVBand="0" w:oddHBand="1" w:evenHBand="0" w:firstRowFirstColumn="0" w:firstRowLastColumn="0" w:lastRowFirstColumn="0" w:lastRowLastColumn="0"/>
            </w:pPr>
            <w:r w:rsidRPr="00417468">
              <w:t>22,404</w:t>
            </w:r>
          </w:p>
        </w:tc>
        <w:tc>
          <w:tcPr>
            <w:tcW w:w="1408" w:type="dxa"/>
          </w:tcPr>
          <w:p w14:paraId="3DAA0C8D" w14:textId="77777777" w:rsidR="007257B9" w:rsidRPr="00417468" w:rsidRDefault="007257B9" w:rsidP="009344E5">
            <w:pPr>
              <w:jc w:val="center"/>
              <w:cnfStyle w:val="000000100000" w:firstRow="0" w:lastRow="0" w:firstColumn="0" w:lastColumn="0" w:oddVBand="0" w:evenVBand="0" w:oddHBand="1" w:evenHBand="0" w:firstRowFirstColumn="0" w:firstRowLastColumn="0" w:lastRowFirstColumn="0" w:lastRowLastColumn="0"/>
            </w:pPr>
            <w:r w:rsidRPr="00417468">
              <w:t>1,721</w:t>
            </w:r>
          </w:p>
        </w:tc>
        <w:tc>
          <w:tcPr>
            <w:tcW w:w="1207" w:type="dxa"/>
          </w:tcPr>
          <w:p w14:paraId="3FB05B42" w14:textId="77777777" w:rsidR="007257B9" w:rsidRPr="00417468" w:rsidRDefault="007257B9" w:rsidP="009344E5">
            <w:pPr>
              <w:jc w:val="center"/>
              <w:cnfStyle w:val="000000100000" w:firstRow="0" w:lastRow="0" w:firstColumn="0" w:lastColumn="0" w:oddVBand="0" w:evenVBand="0" w:oddHBand="1" w:evenHBand="0" w:firstRowFirstColumn="0" w:firstRowLastColumn="0" w:lastRowFirstColumn="0" w:lastRowLastColumn="0"/>
            </w:pPr>
            <w:r w:rsidRPr="00417468">
              <w:t>8%</w:t>
            </w:r>
          </w:p>
        </w:tc>
        <w:tc>
          <w:tcPr>
            <w:tcW w:w="2290" w:type="dxa"/>
          </w:tcPr>
          <w:p w14:paraId="6BA9CB3D" w14:textId="77777777" w:rsidR="007257B9" w:rsidRPr="00417468" w:rsidRDefault="007257B9" w:rsidP="009344E5">
            <w:pPr>
              <w:jc w:val="center"/>
              <w:cnfStyle w:val="000000100000" w:firstRow="0" w:lastRow="0" w:firstColumn="0" w:lastColumn="0" w:oddVBand="0" w:evenVBand="0" w:oddHBand="1" w:evenHBand="0" w:firstRowFirstColumn="0" w:firstRowLastColumn="0" w:lastRowFirstColumn="0" w:lastRowLastColumn="0"/>
            </w:pPr>
            <w:r w:rsidRPr="00417468">
              <w:t>$17,83</w:t>
            </w:r>
          </w:p>
        </w:tc>
      </w:tr>
      <w:tr w:rsidR="007257B9" w:rsidRPr="00417468" w14:paraId="597B15D2" w14:textId="77777777" w:rsidTr="009344E5">
        <w:tc>
          <w:tcPr>
            <w:cnfStyle w:val="001000000000" w:firstRow="0" w:lastRow="0" w:firstColumn="1" w:lastColumn="0" w:oddVBand="0" w:evenVBand="0" w:oddHBand="0" w:evenHBand="0" w:firstRowFirstColumn="0" w:firstRowLastColumn="0" w:lastRowFirstColumn="0" w:lastRowLastColumn="0"/>
            <w:tcW w:w="1833" w:type="dxa"/>
          </w:tcPr>
          <w:p w14:paraId="1384FA58" w14:textId="77777777" w:rsidR="007257B9" w:rsidRPr="006B5342" w:rsidRDefault="007257B9" w:rsidP="009344E5">
            <w:pPr>
              <w:jc w:val="center"/>
            </w:pPr>
            <w:r w:rsidRPr="006B5342">
              <w:rPr>
                <w:rFonts w:ascii="Helvetica" w:hAnsi="Helvetica" w:cs="Helvetica"/>
                <w:color w:val="313131"/>
                <w:sz w:val="20"/>
                <w:szCs w:val="20"/>
              </w:rPr>
              <w:t>Bookkeeping, Accounting, and Auditing Clerks</w:t>
            </w:r>
          </w:p>
        </w:tc>
        <w:tc>
          <w:tcPr>
            <w:tcW w:w="1595" w:type="dxa"/>
          </w:tcPr>
          <w:p w14:paraId="6F84CF5E" w14:textId="77777777" w:rsidR="007257B9" w:rsidRPr="00417468" w:rsidRDefault="007257B9" w:rsidP="009344E5">
            <w:pPr>
              <w:jc w:val="center"/>
              <w:cnfStyle w:val="000000000000" w:firstRow="0" w:lastRow="0" w:firstColumn="0" w:lastColumn="0" w:oddVBand="0" w:evenVBand="0" w:oddHBand="0" w:evenHBand="0" w:firstRowFirstColumn="0" w:firstRowLastColumn="0" w:lastRowFirstColumn="0" w:lastRowLastColumn="0"/>
            </w:pPr>
            <w:r w:rsidRPr="00417468">
              <w:t>2013-2020</w:t>
            </w:r>
          </w:p>
        </w:tc>
        <w:tc>
          <w:tcPr>
            <w:tcW w:w="1715" w:type="dxa"/>
          </w:tcPr>
          <w:p w14:paraId="55143B57" w14:textId="77777777" w:rsidR="007257B9" w:rsidRPr="00417468" w:rsidRDefault="007257B9" w:rsidP="009344E5">
            <w:pPr>
              <w:jc w:val="center"/>
              <w:cnfStyle w:val="000000000000" w:firstRow="0" w:lastRow="0" w:firstColumn="0" w:lastColumn="0" w:oddVBand="0" w:evenVBand="0" w:oddHBand="0" w:evenHBand="0" w:firstRowFirstColumn="0" w:firstRowLastColumn="0" w:lastRowFirstColumn="0" w:lastRowLastColumn="0"/>
            </w:pPr>
            <w:r w:rsidRPr="00417468">
              <w:t>73,432</w:t>
            </w:r>
          </w:p>
        </w:tc>
        <w:tc>
          <w:tcPr>
            <w:tcW w:w="1265" w:type="dxa"/>
          </w:tcPr>
          <w:p w14:paraId="04354B8E" w14:textId="77777777" w:rsidR="007257B9" w:rsidRPr="00417468" w:rsidRDefault="007257B9" w:rsidP="009344E5">
            <w:pPr>
              <w:jc w:val="center"/>
              <w:cnfStyle w:val="000000000000" w:firstRow="0" w:lastRow="0" w:firstColumn="0" w:lastColumn="0" w:oddVBand="0" w:evenVBand="0" w:oddHBand="0" w:evenHBand="0" w:firstRowFirstColumn="0" w:firstRowLastColumn="0" w:lastRowFirstColumn="0" w:lastRowLastColumn="0"/>
            </w:pPr>
            <w:r w:rsidRPr="00417468">
              <w:t>80,428</w:t>
            </w:r>
          </w:p>
        </w:tc>
        <w:tc>
          <w:tcPr>
            <w:tcW w:w="1408" w:type="dxa"/>
          </w:tcPr>
          <w:p w14:paraId="0BA03CFD" w14:textId="77777777" w:rsidR="007257B9" w:rsidRPr="00417468" w:rsidRDefault="007257B9" w:rsidP="009344E5">
            <w:pPr>
              <w:jc w:val="center"/>
              <w:cnfStyle w:val="000000000000" w:firstRow="0" w:lastRow="0" w:firstColumn="0" w:lastColumn="0" w:oddVBand="0" w:evenVBand="0" w:oddHBand="0" w:evenHBand="0" w:firstRowFirstColumn="0" w:firstRowLastColumn="0" w:lastRowFirstColumn="0" w:lastRowLastColumn="0"/>
            </w:pPr>
            <w:r w:rsidRPr="00417468">
              <w:t>7,005</w:t>
            </w:r>
          </w:p>
        </w:tc>
        <w:tc>
          <w:tcPr>
            <w:tcW w:w="1207" w:type="dxa"/>
          </w:tcPr>
          <w:p w14:paraId="1D506471" w14:textId="77777777" w:rsidR="007257B9" w:rsidRPr="00417468" w:rsidRDefault="007257B9" w:rsidP="009344E5">
            <w:pPr>
              <w:jc w:val="center"/>
              <w:cnfStyle w:val="000000000000" w:firstRow="0" w:lastRow="0" w:firstColumn="0" w:lastColumn="0" w:oddVBand="0" w:evenVBand="0" w:oddHBand="0" w:evenHBand="0" w:firstRowFirstColumn="0" w:firstRowLastColumn="0" w:lastRowFirstColumn="0" w:lastRowLastColumn="0"/>
            </w:pPr>
            <w:r w:rsidRPr="00417468">
              <w:t>10%</w:t>
            </w:r>
          </w:p>
        </w:tc>
        <w:tc>
          <w:tcPr>
            <w:tcW w:w="2290" w:type="dxa"/>
          </w:tcPr>
          <w:p w14:paraId="302A152C" w14:textId="77777777" w:rsidR="007257B9" w:rsidRPr="00417468" w:rsidRDefault="007257B9" w:rsidP="009344E5">
            <w:pPr>
              <w:jc w:val="center"/>
              <w:cnfStyle w:val="000000000000" w:firstRow="0" w:lastRow="0" w:firstColumn="0" w:lastColumn="0" w:oddVBand="0" w:evenVBand="0" w:oddHBand="0" w:evenHBand="0" w:firstRowFirstColumn="0" w:firstRowLastColumn="0" w:lastRowFirstColumn="0" w:lastRowLastColumn="0"/>
            </w:pPr>
            <w:r w:rsidRPr="00417468">
              <w:t>$19.28</w:t>
            </w:r>
          </w:p>
        </w:tc>
      </w:tr>
    </w:tbl>
    <w:p w14:paraId="6200F526" w14:textId="77777777" w:rsidR="007257B9" w:rsidRPr="006B5342" w:rsidRDefault="007257B9" w:rsidP="007257B9">
      <w:pPr>
        <w:rPr>
          <w:i/>
          <w:sz w:val="18"/>
          <w:szCs w:val="18"/>
        </w:rPr>
      </w:pPr>
      <w:r w:rsidRPr="006B5342">
        <w:rPr>
          <w:b/>
          <w:i/>
          <w:sz w:val="18"/>
          <w:szCs w:val="18"/>
          <w:u w:val="single"/>
        </w:rPr>
        <w:t>Source:</w:t>
      </w:r>
      <w:r w:rsidRPr="006B5342">
        <w:rPr>
          <w:i/>
          <w:sz w:val="18"/>
          <w:szCs w:val="18"/>
        </w:rPr>
        <w:t xml:space="preserve"> </w:t>
      </w:r>
      <w:r w:rsidRPr="006B5342">
        <w:rPr>
          <w:rFonts w:ascii="Helvetica" w:hAnsi="Helvetica" w:cs="Helvetica"/>
          <w:i/>
          <w:color w:val="313131"/>
          <w:sz w:val="18"/>
          <w:szCs w:val="18"/>
        </w:rPr>
        <w:t>MSI occupation employment data are based on final EMSI industry data and final EMSI staffing patterns. Wage estimates are based on Occupational Employment Statistics (QCEW and Non-QCEW Employees classes of worker) and the American Community Survey (Self-Employed and Extended Proprietors). Occupational wage estimates also affected by county-level EMSI earnings by industry.</w:t>
      </w:r>
      <w:r w:rsidRPr="006B5342">
        <w:rPr>
          <w:rFonts w:ascii="Helvetica" w:hAnsi="Helvetica" w:cs="Helvetica"/>
          <w:i/>
          <w:sz w:val="18"/>
          <w:szCs w:val="18"/>
        </w:rPr>
        <w:t xml:space="preserve">  </w:t>
      </w:r>
    </w:p>
    <w:p w14:paraId="59C9A72B" w14:textId="77777777" w:rsidR="007257B9" w:rsidRDefault="007257B9" w:rsidP="007257B9"/>
    <w:p w14:paraId="281EF9D5" w14:textId="77777777" w:rsidR="00726BA6" w:rsidRDefault="00C94D47"/>
    <w:sectPr w:rsidR="00726BA6" w:rsidSect="006B5342">
      <w:pgSz w:w="15840" w:h="12240" w:orient="landscape"/>
      <w:pgMar w:top="792" w:right="1440" w:bottom="15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B9"/>
    <w:rsid w:val="0013076B"/>
    <w:rsid w:val="001D1B6D"/>
    <w:rsid w:val="005A3840"/>
    <w:rsid w:val="00695ECE"/>
    <w:rsid w:val="007257B9"/>
    <w:rsid w:val="007C1492"/>
    <w:rsid w:val="009E38F9"/>
    <w:rsid w:val="00A12FE6"/>
    <w:rsid w:val="00A57F61"/>
    <w:rsid w:val="00B07A39"/>
    <w:rsid w:val="00B127F5"/>
    <w:rsid w:val="00B21A41"/>
    <w:rsid w:val="00C94D47"/>
    <w:rsid w:val="00E8672F"/>
    <w:rsid w:val="00FC5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034D"/>
  <w15:docId w15:val="{04F4D9AF-AB65-410C-9B70-82021EEF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7B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7257B9"/>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alloonText">
    <w:name w:val="Balloon Text"/>
    <w:basedOn w:val="Normal"/>
    <w:link w:val="BalloonTextChar"/>
    <w:uiPriority w:val="99"/>
    <w:semiHidden/>
    <w:unhideWhenUsed/>
    <w:rsid w:val="00E8672F"/>
    <w:rPr>
      <w:rFonts w:ascii="Tahoma" w:hAnsi="Tahoma" w:cs="Tahoma"/>
      <w:sz w:val="16"/>
      <w:szCs w:val="16"/>
    </w:rPr>
  </w:style>
  <w:style w:type="character" w:customStyle="1" w:styleId="BalloonTextChar">
    <w:name w:val="Balloon Text Char"/>
    <w:basedOn w:val="DefaultParagraphFont"/>
    <w:link w:val="BalloonText"/>
    <w:uiPriority w:val="99"/>
    <w:semiHidden/>
    <w:rsid w:val="00E8672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josepha baca</dc:creator>
  <cp:lastModifiedBy>Ana Barcenas</cp:lastModifiedBy>
  <cp:revision>2</cp:revision>
  <cp:lastPrinted>2018-04-16T23:19:00Z</cp:lastPrinted>
  <dcterms:created xsi:type="dcterms:W3CDTF">2018-10-24T00:10:00Z</dcterms:created>
  <dcterms:modified xsi:type="dcterms:W3CDTF">2018-10-24T00:10:00Z</dcterms:modified>
</cp:coreProperties>
</file>